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040B" w14:textId="6F6ECBDD" w:rsidR="001B6B6F" w:rsidRPr="0079328B" w:rsidRDefault="00DD44E1" w:rsidP="0079328B">
      <w:pPr>
        <w:jc w:val="center"/>
        <w:rPr>
          <w:b/>
          <w:bCs/>
          <w:sz w:val="28"/>
          <w:szCs w:val="28"/>
        </w:rPr>
      </w:pPr>
      <w:r w:rsidRPr="00DD44E1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5FEBA85" wp14:editId="14E27EE5">
            <wp:simplePos x="0" y="0"/>
            <wp:positionH relativeFrom="margin">
              <wp:align>left</wp:align>
            </wp:positionH>
            <wp:positionV relativeFrom="paragraph">
              <wp:posOffset>-97155</wp:posOffset>
            </wp:positionV>
            <wp:extent cx="900000" cy="903600"/>
            <wp:effectExtent l="0" t="0" r="0" b="0"/>
            <wp:wrapNone/>
            <wp:docPr id="140608692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0000" cy="9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44E1">
        <w:rPr>
          <w:b/>
          <w:bCs/>
          <w:sz w:val="28"/>
          <w:szCs w:val="28"/>
        </w:rPr>
        <w:t xml:space="preserve"> </w:t>
      </w:r>
      <w:r w:rsidR="00FA2A13">
        <w:rPr>
          <w:noProof/>
        </w:rPr>
        <w:drawing>
          <wp:anchor distT="0" distB="0" distL="114300" distR="114300" simplePos="0" relativeHeight="251658240" behindDoc="1" locked="0" layoutInCell="1" allowOverlap="1" wp14:anchorId="1E70CBD6" wp14:editId="61B40E30">
            <wp:simplePos x="0" y="0"/>
            <wp:positionH relativeFrom="column">
              <wp:posOffset>4752975</wp:posOffset>
            </wp:positionH>
            <wp:positionV relativeFrom="paragraph">
              <wp:posOffset>95250</wp:posOffset>
            </wp:positionV>
            <wp:extent cx="1014730" cy="363220"/>
            <wp:effectExtent l="0" t="0" r="0" b="0"/>
            <wp:wrapTopAndBottom/>
            <wp:docPr id="974337775" name="Picture 3" descr="A black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37775" name="Picture 3" descr="A black and blu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328B" w:rsidRPr="0079328B">
        <w:rPr>
          <w:b/>
          <w:bCs/>
          <w:sz w:val="28"/>
          <w:szCs w:val="28"/>
        </w:rPr>
        <w:t>THRIVING IN THE HYBRID ERA</w:t>
      </w:r>
    </w:p>
    <w:p w14:paraId="08356D15" w14:textId="77777777" w:rsidR="0079328B" w:rsidRPr="001F0BD7" w:rsidRDefault="0079328B">
      <w:pPr>
        <w:rPr>
          <w:sz w:val="16"/>
          <w:szCs w:val="16"/>
        </w:rPr>
      </w:pPr>
    </w:p>
    <w:p w14:paraId="031D88D6" w14:textId="066B2464" w:rsidR="0079328B" w:rsidRDefault="0079328B" w:rsidP="00ED7A8D">
      <w:pPr>
        <w:spacing w:after="0"/>
      </w:pPr>
      <w:r w:rsidRPr="0079328B">
        <w:rPr>
          <w:b/>
          <w:bCs/>
        </w:rPr>
        <w:t xml:space="preserve">Thriving in </w:t>
      </w:r>
      <w:r w:rsidR="00CF7905">
        <w:rPr>
          <w:b/>
          <w:bCs/>
        </w:rPr>
        <w:t>T</w:t>
      </w:r>
      <w:r w:rsidRPr="0079328B">
        <w:rPr>
          <w:b/>
          <w:bCs/>
        </w:rPr>
        <w:t xml:space="preserve">he </w:t>
      </w:r>
      <w:r w:rsidRPr="0079328B">
        <w:rPr>
          <w:b/>
          <w:bCs/>
        </w:rPr>
        <w:t>Hybrid</w:t>
      </w:r>
      <w:r w:rsidRPr="0079328B">
        <w:rPr>
          <w:b/>
          <w:bCs/>
        </w:rPr>
        <w:t xml:space="preserve"> Era</w:t>
      </w:r>
      <w:r w:rsidRPr="0079328B">
        <w:rPr>
          <w:b/>
          <w:bCs/>
        </w:rPr>
        <w:t xml:space="preserve"> Workshop</w:t>
      </w:r>
      <w:r w:rsidRPr="0079328B">
        <w:t xml:space="preserve"> is essential for companies navigating the evolving world of work, where balancing productivity, employee wellbeing and organizational culture is critical to long-term success. By attending, leaders</w:t>
      </w:r>
      <w:r>
        <w:t xml:space="preserve"> and hybrid team members</w:t>
      </w:r>
      <w:r w:rsidRPr="0079328B">
        <w:t xml:space="preserve"> gain practical strategies to design intentional hybrid policies, address challenges such as communication gaps, burnout, fairness and visibility, and build a culture that supports both performance and people. The workshop equips executives with actionable tools to align business objectives with workforce needs, ensuring hybrid work becomes a competitive advantage rather than a source of friction</w:t>
      </w:r>
      <w:r>
        <w:t xml:space="preserve">, </w:t>
      </w:r>
      <w:r w:rsidRPr="0079328B">
        <w:t>driving resilience, engagement and sustainable growth.</w:t>
      </w:r>
    </w:p>
    <w:p w14:paraId="5C8EE4D1" w14:textId="77777777" w:rsidR="0079328B" w:rsidRPr="000438FC" w:rsidRDefault="0079328B" w:rsidP="00ED7A8D">
      <w:pPr>
        <w:spacing w:after="0"/>
        <w:rPr>
          <w:sz w:val="16"/>
          <w:szCs w:val="16"/>
        </w:rPr>
      </w:pPr>
    </w:p>
    <w:p w14:paraId="5283CCB0" w14:textId="1B4BEB40" w:rsidR="0079328B" w:rsidRDefault="00964F85" w:rsidP="00ED7A8D">
      <w:pPr>
        <w:spacing w:after="0"/>
      </w:pPr>
      <w:r w:rsidRPr="0079328B">
        <w:rPr>
          <w:b/>
          <w:bCs/>
        </w:rPr>
        <w:t>Thriving in the Hybrid Era Workshop</w:t>
      </w:r>
      <w:r w:rsidR="00CC7CDE">
        <w:rPr>
          <w:b/>
          <w:bCs/>
        </w:rPr>
        <w:t xml:space="preserve"> Overview</w:t>
      </w:r>
      <w:r w:rsidR="00E455E7">
        <w:rPr>
          <w:b/>
          <w:bCs/>
        </w:rPr>
        <w:t xml:space="preserve"> (Can be </w:t>
      </w:r>
      <w:r w:rsidR="00216142">
        <w:rPr>
          <w:b/>
          <w:bCs/>
        </w:rPr>
        <w:t>tailored to</w:t>
      </w:r>
      <w:r w:rsidR="0063393D">
        <w:rPr>
          <w:b/>
          <w:bCs/>
        </w:rPr>
        <w:t xml:space="preserve"> unique</w:t>
      </w:r>
      <w:r w:rsidR="00216142">
        <w:rPr>
          <w:b/>
          <w:bCs/>
        </w:rPr>
        <w:t xml:space="preserve"> requirement</w:t>
      </w:r>
      <w:r w:rsidR="002F1091">
        <w:rPr>
          <w:b/>
          <w:bCs/>
        </w:rPr>
        <w:t>s</w:t>
      </w:r>
      <w:r w:rsidR="00216142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4090"/>
        <w:gridCol w:w="678"/>
      </w:tblGrid>
      <w:tr w:rsidR="00256250" w14:paraId="3B9D27EE" w14:textId="77777777" w:rsidTr="0031647C">
        <w:tc>
          <w:tcPr>
            <w:tcW w:w="1980" w:type="dxa"/>
          </w:tcPr>
          <w:p w14:paraId="04637380" w14:textId="252290F5" w:rsidR="00256250" w:rsidRDefault="00256250" w:rsidP="00256250">
            <w:pPr>
              <w:jc w:val="center"/>
            </w:pPr>
            <w:r>
              <w:t>Program</w:t>
            </w:r>
          </w:p>
        </w:tc>
        <w:tc>
          <w:tcPr>
            <w:tcW w:w="2268" w:type="dxa"/>
          </w:tcPr>
          <w:p w14:paraId="7652BA82" w14:textId="354C7953" w:rsidR="00256250" w:rsidRDefault="00256250" w:rsidP="00256250">
            <w:pPr>
              <w:jc w:val="center"/>
            </w:pPr>
            <w:r>
              <w:t>Target Audience</w:t>
            </w:r>
          </w:p>
        </w:tc>
        <w:tc>
          <w:tcPr>
            <w:tcW w:w="4090" w:type="dxa"/>
          </w:tcPr>
          <w:p w14:paraId="5EC9F23A" w14:textId="63E9A12D" w:rsidR="00256250" w:rsidRDefault="00256250" w:rsidP="00256250">
            <w:pPr>
              <w:jc w:val="center"/>
            </w:pPr>
            <w:r>
              <w:t>Content</w:t>
            </w:r>
          </w:p>
        </w:tc>
        <w:tc>
          <w:tcPr>
            <w:tcW w:w="678" w:type="dxa"/>
          </w:tcPr>
          <w:p w14:paraId="045E9595" w14:textId="62364880" w:rsidR="00256250" w:rsidRDefault="00970112" w:rsidP="00256250">
            <w:pPr>
              <w:jc w:val="center"/>
            </w:pPr>
            <w:r>
              <w:t>Time</w:t>
            </w:r>
          </w:p>
        </w:tc>
      </w:tr>
      <w:tr w:rsidR="00256250" w14:paraId="74245C3E" w14:textId="77777777" w:rsidTr="0031647C">
        <w:trPr>
          <w:trHeight w:val="1418"/>
        </w:trPr>
        <w:tc>
          <w:tcPr>
            <w:tcW w:w="1980" w:type="dxa"/>
            <w:vAlign w:val="center"/>
          </w:tcPr>
          <w:p w14:paraId="77F62DFD" w14:textId="4F43CDF6" w:rsidR="00256250" w:rsidRPr="00917B5C" w:rsidRDefault="002A3243" w:rsidP="0070265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 Hybrid Era Executive Edge</w:t>
            </w:r>
          </w:p>
        </w:tc>
        <w:tc>
          <w:tcPr>
            <w:tcW w:w="2268" w:type="dxa"/>
            <w:vAlign w:val="center"/>
          </w:tcPr>
          <w:p w14:paraId="4E67AEBF" w14:textId="77777777" w:rsidR="00904DD6" w:rsidRDefault="006738EA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Executive </w:t>
            </w:r>
            <w:r w:rsidR="00904DD6">
              <w:rPr>
                <w:rFonts w:ascii="Aptos Narrow" w:hAnsi="Aptos Narrow"/>
                <w:color w:val="000000"/>
              </w:rPr>
              <w:t>Management</w:t>
            </w:r>
          </w:p>
          <w:p w14:paraId="3A4F42D0" w14:textId="7F9691E3" w:rsidR="00256250" w:rsidRPr="006738EA" w:rsidRDefault="006738EA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 Senior Management</w:t>
            </w:r>
          </w:p>
        </w:tc>
        <w:tc>
          <w:tcPr>
            <w:tcW w:w="4090" w:type="dxa"/>
            <w:vAlign w:val="center"/>
          </w:tcPr>
          <w:p w14:paraId="0DC301CD" w14:textId="0C2944ED" w:rsidR="00256250" w:rsidRPr="007A4DE0" w:rsidRDefault="007A4DE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Thriving in Hybrid Wellbeing</w:t>
            </w:r>
          </w:p>
        </w:tc>
        <w:tc>
          <w:tcPr>
            <w:tcW w:w="0" w:type="auto"/>
            <w:vAlign w:val="center"/>
          </w:tcPr>
          <w:p w14:paraId="6D3DE678" w14:textId="4DB183B5" w:rsidR="000C7D3D" w:rsidRDefault="000C7D3D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</w:t>
            </w:r>
          </w:p>
          <w:p w14:paraId="0D28DFF4" w14:textId="77777777" w:rsidR="00256250" w:rsidRDefault="00256250" w:rsidP="00970112">
            <w:pPr>
              <w:jc w:val="center"/>
            </w:pPr>
          </w:p>
        </w:tc>
      </w:tr>
      <w:tr w:rsidR="00256250" w14:paraId="3C3B4723" w14:textId="77777777" w:rsidTr="0031647C">
        <w:trPr>
          <w:trHeight w:val="1418"/>
        </w:trPr>
        <w:tc>
          <w:tcPr>
            <w:tcW w:w="1980" w:type="dxa"/>
            <w:vAlign w:val="center"/>
          </w:tcPr>
          <w:p w14:paraId="31F3B71A" w14:textId="188B7181" w:rsidR="00256250" w:rsidRPr="00917B5C" w:rsidRDefault="00917B5C" w:rsidP="00702655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 Hybrid Era Leadership Advantage</w:t>
            </w:r>
          </w:p>
        </w:tc>
        <w:tc>
          <w:tcPr>
            <w:tcW w:w="2268" w:type="dxa"/>
            <w:vAlign w:val="center"/>
          </w:tcPr>
          <w:p w14:paraId="4CB0FCFD" w14:textId="77777777" w:rsidR="00904DD6" w:rsidRDefault="00BF34E9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Managers</w:t>
            </w:r>
          </w:p>
          <w:p w14:paraId="146B43F6" w14:textId="75C2C949" w:rsidR="00BF34E9" w:rsidRDefault="00BF34E9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Team Leaders</w:t>
            </w:r>
          </w:p>
          <w:p w14:paraId="6DC42E98" w14:textId="5256D4B8" w:rsidR="00256250" w:rsidRPr="00BF34E9" w:rsidRDefault="00702655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</w:t>
            </w:r>
            <w:r w:rsidR="00BF34E9">
              <w:rPr>
                <w:rFonts w:ascii="Aptos Narrow" w:hAnsi="Aptos Narrow"/>
                <w:color w:val="000000"/>
              </w:rPr>
              <w:t xml:space="preserve"> Management</w:t>
            </w:r>
          </w:p>
        </w:tc>
        <w:tc>
          <w:tcPr>
            <w:tcW w:w="4090" w:type="dxa"/>
            <w:vAlign w:val="center"/>
          </w:tcPr>
          <w:p w14:paraId="78A51BDE" w14:textId="77777777" w:rsidR="007A4DE0" w:rsidRDefault="007A4DE0" w:rsidP="007A4DE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 Hybrid Balance Blueprint</w:t>
            </w:r>
          </w:p>
          <w:p w14:paraId="732F985B" w14:textId="77777777" w:rsidR="009B0F3D" w:rsidRDefault="009B0F3D" w:rsidP="009B0F3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Wellbeing in the New Hybrid Era</w:t>
            </w:r>
          </w:p>
          <w:p w14:paraId="1A3C685E" w14:textId="77777777" w:rsidR="00256250" w:rsidRDefault="00256250"/>
        </w:tc>
        <w:tc>
          <w:tcPr>
            <w:tcW w:w="0" w:type="auto"/>
            <w:vAlign w:val="center"/>
          </w:tcPr>
          <w:p w14:paraId="56F8E4CC" w14:textId="19B706CC" w:rsidR="001D279E" w:rsidRDefault="001D279E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240</w:t>
            </w:r>
          </w:p>
          <w:p w14:paraId="1A7CAE66" w14:textId="77777777" w:rsidR="00256250" w:rsidRDefault="00256250" w:rsidP="00970112">
            <w:pPr>
              <w:jc w:val="center"/>
            </w:pPr>
          </w:p>
        </w:tc>
      </w:tr>
      <w:tr w:rsidR="00917B5C" w14:paraId="2E062CD6" w14:textId="77777777" w:rsidTr="0031647C">
        <w:trPr>
          <w:trHeight w:val="1418"/>
        </w:trPr>
        <w:tc>
          <w:tcPr>
            <w:tcW w:w="1980" w:type="dxa"/>
            <w:vAlign w:val="center"/>
          </w:tcPr>
          <w:p w14:paraId="4328D3B2" w14:textId="385ED03A" w:rsidR="00917B5C" w:rsidRDefault="00917B5C" w:rsidP="0054060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 Hybrid Era Wellbeing Playbook</w:t>
            </w:r>
          </w:p>
        </w:tc>
        <w:tc>
          <w:tcPr>
            <w:tcW w:w="2268" w:type="dxa"/>
            <w:vAlign w:val="center"/>
          </w:tcPr>
          <w:p w14:paraId="3707D1FC" w14:textId="77777777" w:rsidR="00904DD6" w:rsidRDefault="000C7D3D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Hybrid Team Leaders </w:t>
            </w:r>
          </w:p>
          <w:p w14:paraId="69425867" w14:textId="5B43119E" w:rsidR="000C7D3D" w:rsidRDefault="00702655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Hybrid Team </w:t>
            </w:r>
            <w:r w:rsidR="000C7D3D">
              <w:rPr>
                <w:rFonts w:ascii="Aptos Narrow" w:hAnsi="Aptos Narrow"/>
                <w:color w:val="000000"/>
              </w:rPr>
              <w:t>Members</w:t>
            </w:r>
          </w:p>
          <w:p w14:paraId="104E3B71" w14:textId="10602EFB" w:rsidR="00917B5C" w:rsidRPr="000C7D3D" w:rsidRDefault="00702655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HR</w:t>
            </w:r>
            <w:r w:rsidR="000C7D3D">
              <w:rPr>
                <w:rFonts w:ascii="Aptos Narrow" w:hAnsi="Aptos Narrow"/>
                <w:color w:val="000000"/>
              </w:rPr>
              <w:t xml:space="preserve"> Teams</w:t>
            </w:r>
          </w:p>
        </w:tc>
        <w:tc>
          <w:tcPr>
            <w:tcW w:w="4090" w:type="dxa"/>
            <w:vAlign w:val="center"/>
          </w:tcPr>
          <w:p w14:paraId="59D4CF10" w14:textId="77777777" w:rsidR="007A4DE0" w:rsidRDefault="007A4DE0" w:rsidP="007A4DE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 Hybrid Balance Blueprint</w:t>
            </w:r>
          </w:p>
          <w:p w14:paraId="4E3D18E5" w14:textId="77777777" w:rsidR="006858A4" w:rsidRDefault="006858A4" w:rsidP="006858A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The Hybrid Hack: Rewrite the Work Rulebook</w:t>
            </w:r>
          </w:p>
          <w:p w14:paraId="31E7FC72" w14:textId="6E872174" w:rsidR="009B0F3D" w:rsidRDefault="009B0F3D" w:rsidP="009B0F3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Wellbeing in the New Hybrid Era</w:t>
            </w:r>
          </w:p>
          <w:p w14:paraId="244B277C" w14:textId="1B7A1AB0" w:rsidR="00917B5C" w:rsidRPr="006858A4" w:rsidRDefault="006858A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Hybrid Reality: The Tough Conversations</w:t>
            </w:r>
          </w:p>
        </w:tc>
        <w:tc>
          <w:tcPr>
            <w:tcW w:w="0" w:type="auto"/>
            <w:vAlign w:val="center"/>
          </w:tcPr>
          <w:p w14:paraId="78AE98A8" w14:textId="316997BD" w:rsidR="001D279E" w:rsidRDefault="001D279E" w:rsidP="009701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</w:t>
            </w:r>
            <w:r w:rsidR="009C352D">
              <w:rPr>
                <w:rFonts w:ascii="Aptos Narrow" w:hAnsi="Aptos Narrow"/>
                <w:color w:val="000000"/>
              </w:rPr>
              <w:t>6</w:t>
            </w:r>
            <w:r w:rsidR="00970112">
              <w:rPr>
                <w:rFonts w:ascii="Aptos Narrow" w:hAnsi="Aptos Narrow"/>
                <w:color w:val="000000"/>
              </w:rPr>
              <w:t>0</w:t>
            </w:r>
          </w:p>
          <w:p w14:paraId="723673D2" w14:textId="77777777" w:rsidR="00917B5C" w:rsidRDefault="00917B5C" w:rsidP="00970112">
            <w:pPr>
              <w:jc w:val="center"/>
            </w:pPr>
          </w:p>
        </w:tc>
      </w:tr>
    </w:tbl>
    <w:p w14:paraId="13491E7A" w14:textId="77777777" w:rsidR="00CC7CDE" w:rsidRDefault="00CC7CDE"/>
    <w:p w14:paraId="61D71160" w14:textId="61CD9894" w:rsidR="008D59E7" w:rsidRDefault="00CF7905" w:rsidP="00CF72CC">
      <w:pPr>
        <w:spacing w:after="0" w:line="240" w:lineRule="auto"/>
      </w:pPr>
      <w:r>
        <w:rPr>
          <w:b/>
          <w:bCs/>
        </w:rPr>
        <w:t>T</w:t>
      </w:r>
      <w:r w:rsidR="00CC2BE8" w:rsidRPr="0079328B">
        <w:rPr>
          <w:b/>
          <w:bCs/>
        </w:rPr>
        <w:t>he Hybrid Era</w:t>
      </w:r>
      <w:r w:rsidR="00CF09BE">
        <w:rPr>
          <w:b/>
          <w:bCs/>
        </w:rPr>
        <w:t xml:space="preserve"> Wellbeing Playbook </w:t>
      </w:r>
      <w:r w:rsidR="00CC2BE8" w:rsidRPr="0079328B">
        <w:rPr>
          <w:b/>
          <w:bCs/>
        </w:rPr>
        <w:t>Workshop</w:t>
      </w:r>
      <w:r w:rsidR="00A979B5">
        <w:rPr>
          <w:b/>
          <w:bCs/>
        </w:rPr>
        <w:t xml:space="preserve"> </w:t>
      </w:r>
      <w:r w:rsidR="00A979B5">
        <w:t>include</w:t>
      </w:r>
      <w:r w:rsidR="0062650E">
        <w:t>s</w:t>
      </w:r>
      <w:r w:rsidR="00A979B5">
        <w:t xml:space="preserve"> </w:t>
      </w:r>
      <w:r w:rsidR="001A245A">
        <w:t>the</w:t>
      </w:r>
      <w:r w:rsidR="00A979B5">
        <w:t xml:space="preserve"> diagnostic assessment</w:t>
      </w:r>
      <w:r w:rsidR="001A245A">
        <w:t>s</w:t>
      </w:r>
      <w:r w:rsidR="00943394" w:rsidRPr="00943394">
        <w:t xml:space="preserve"> remote</w:t>
      </w:r>
      <w:r w:rsidR="00196B64">
        <w:t>-</w:t>
      </w:r>
      <w:r w:rsidR="00943394" w:rsidRPr="00943394">
        <w:t xml:space="preserve">leadership@work </w:t>
      </w:r>
      <w:r w:rsidR="00196B64">
        <w:t xml:space="preserve">and </w:t>
      </w:r>
      <w:r w:rsidR="00196B64" w:rsidRPr="005A3E47">
        <w:t>remote</w:t>
      </w:r>
      <w:r w:rsidR="00196B64">
        <w:t>-</w:t>
      </w:r>
      <w:r w:rsidR="00196B64" w:rsidRPr="005A3E47">
        <w:t>working@work</w:t>
      </w:r>
      <w:r w:rsidR="00976557">
        <w:t>, with full outcomes debrief</w:t>
      </w:r>
      <w:r w:rsidR="008D59E7">
        <w:t>.</w:t>
      </w:r>
    </w:p>
    <w:p w14:paraId="4991C9CE" w14:textId="77777777" w:rsidR="008D59E7" w:rsidRPr="009D7AF7" w:rsidRDefault="008D59E7" w:rsidP="00CF72CC">
      <w:pPr>
        <w:spacing w:after="0" w:line="240" w:lineRule="auto"/>
        <w:rPr>
          <w:sz w:val="16"/>
          <w:szCs w:val="16"/>
        </w:rPr>
      </w:pPr>
    </w:p>
    <w:p w14:paraId="2DC2ABE7" w14:textId="4972F275" w:rsidR="00943394" w:rsidRDefault="008D59E7" w:rsidP="00CF72CC">
      <w:pPr>
        <w:spacing w:after="0" w:line="240" w:lineRule="auto"/>
      </w:pPr>
      <w:r>
        <w:t xml:space="preserve">The </w:t>
      </w:r>
      <w:r w:rsidR="00B57BAA">
        <w:rPr>
          <w:b/>
          <w:bCs/>
        </w:rPr>
        <w:t>R</w:t>
      </w:r>
      <w:r w:rsidR="004466EF" w:rsidRPr="00B57BAA">
        <w:rPr>
          <w:b/>
          <w:bCs/>
        </w:rPr>
        <w:t xml:space="preserve">emote </w:t>
      </w:r>
      <w:r w:rsidR="00B57BAA">
        <w:rPr>
          <w:b/>
          <w:bCs/>
        </w:rPr>
        <w:t>L</w:t>
      </w:r>
      <w:r w:rsidR="004466EF" w:rsidRPr="00B57BAA">
        <w:rPr>
          <w:b/>
          <w:bCs/>
        </w:rPr>
        <w:t>eadership</w:t>
      </w:r>
      <w:r w:rsidR="004466EF">
        <w:t xml:space="preserve"> </w:t>
      </w:r>
      <w:r>
        <w:t>d</w:t>
      </w:r>
      <w:r w:rsidR="00943394" w:rsidRPr="00943394">
        <w:t>iagnostic assesses the unique challenges and strengths</w:t>
      </w:r>
      <w:r>
        <w:t xml:space="preserve"> </w:t>
      </w:r>
      <w:r w:rsidR="00943394" w:rsidRPr="00943394">
        <w:t>of leading teams in virtual or hybrid environments. It reveals how well leaders facilitate digital</w:t>
      </w:r>
      <w:r>
        <w:t xml:space="preserve"> </w:t>
      </w:r>
      <w:r w:rsidR="00943394" w:rsidRPr="00943394">
        <w:t>communication, team engagement, accountability and development from a distance.</w:t>
      </w:r>
    </w:p>
    <w:p w14:paraId="6C56AFF4" w14:textId="3547500C" w:rsidR="005A3E47" w:rsidRPr="005A3E47" w:rsidRDefault="005A3E47" w:rsidP="00CF72CC">
      <w:pPr>
        <w:spacing w:after="0" w:line="240" w:lineRule="auto"/>
      </w:pPr>
      <w:r w:rsidRPr="005A3E47">
        <w:t>The</w:t>
      </w:r>
      <w:r w:rsidR="001E3A7E">
        <w:t xml:space="preserve"> </w:t>
      </w:r>
      <w:r w:rsidR="00B57BAA">
        <w:rPr>
          <w:b/>
          <w:bCs/>
        </w:rPr>
        <w:t>R</w:t>
      </w:r>
      <w:r w:rsidR="001E3A7E" w:rsidRPr="00B57BAA">
        <w:rPr>
          <w:b/>
          <w:bCs/>
        </w:rPr>
        <w:t xml:space="preserve">emote </w:t>
      </w:r>
      <w:r w:rsidR="00B57BAA">
        <w:rPr>
          <w:b/>
          <w:bCs/>
        </w:rPr>
        <w:t>W</w:t>
      </w:r>
      <w:r w:rsidR="001E3A7E" w:rsidRPr="00B57BAA">
        <w:rPr>
          <w:b/>
          <w:bCs/>
        </w:rPr>
        <w:t>orking</w:t>
      </w:r>
      <w:r w:rsidR="001E3A7E">
        <w:t xml:space="preserve"> d</w:t>
      </w:r>
      <w:r w:rsidRPr="005A3E47">
        <w:t>iagnostic evaluates readiness, wellbeing, collaboration and</w:t>
      </w:r>
    </w:p>
    <w:p w14:paraId="537BC849" w14:textId="1428F4AF" w:rsidR="00C07D93" w:rsidRDefault="005A3E47" w:rsidP="00CF72CC">
      <w:pPr>
        <w:spacing w:after="0" w:line="240" w:lineRule="auto"/>
      </w:pPr>
      <w:r w:rsidRPr="005A3E47">
        <w:t>productivity for individuals and teams working outside the typical workplace. It spotlights the practical,</w:t>
      </w:r>
      <w:r w:rsidR="00CF72CC">
        <w:t xml:space="preserve"> </w:t>
      </w:r>
      <w:r w:rsidRPr="005A3E47">
        <w:t>cultural and personal factors that lead to either success or struggle in remote settings.</w:t>
      </w:r>
      <w:r w:rsidR="003D1963">
        <w:t xml:space="preserve"> The diagnostic tools </w:t>
      </w:r>
      <w:r w:rsidR="00754D65">
        <w:t>remain</w:t>
      </w:r>
      <w:r w:rsidR="003D1963">
        <w:t xml:space="preserve"> available </w:t>
      </w:r>
      <w:r w:rsidR="009308DD">
        <w:t xml:space="preserve">for a period of six months after the workshop, allowing </w:t>
      </w:r>
      <w:r w:rsidR="006A3331">
        <w:t>management</w:t>
      </w:r>
      <w:r w:rsidR="009308DD">
        <w:t xml:space="preserve"> to </w:t>
      </w:r>
      <w:r w:rsidR="006A3331">
        <w:t>track</w:t>
      </w:r>
      <w:r w:rsidR="009308DD">
        <w:t xml:space="preserve"> impro</w:t>
      </w:r>
      <w:r w:rsidR="006A3331">
        <w:t xml:space="preserve">vements </w:t>
      </w:r>
      <w:r w:rsidR="00754D65">
        <w:t xml:space="preserve">over time </w:t>
      </w:r>
      <w:r w:rsidR="006A3331">
        <w:t>in the hybrid work</w:t>
      </w:r>
      <w:r w:rsidR="009D7AF7">
        <w:t xml:space="preserve"> environment.</w:t>
      </w:r>
    </w:p>
    <w:p w14:paraId="748985C4" w14:textId="77777777" w:rsidR="006F2FDA" w:rsidRDefault="006F2FDA" w:rsidP="00CF72CC">
      <w:pPr>
        <w:spacing w:after="0" w:line="240" w:lineRule="auto"/>
      </w:pPr>
    </w:p>
    <w:p w14:paraId="04A03043" w14:textId="004F7BF5" w:rsidR="006F2FDA" w:rsidRDefault="006F2FDA" w:rsidP="00CF72CC">
      <w:pPr>
        <w:spacing w:after="0" w:line="240" w:lineRule="auto"/>
      </w:pPr>
      <w:r>
        <w:t>For further details</w:t>
      </w:r>
      <w:r w:rsidR="000067EC">
        <w:t xml:space="preserve"> and to book your workshop, please contact Gary Bateman at:</w:t>
      </w:r>
    </w:p>
    <w:p w14:paraId="00AC9064" w14:textId="3EEBAAB4" w:rsidR="000067EC" w:rsidRDefault="00D13E86" w:rsidP="00CF72CC">
      <w:pPr>
        <w:spacing w:after="0" w:line="240" w:lineRule="auto"/>
      </w:pPr>
      <w:r>
        <w:t>E-mail:</w:t>
      </w:r>
      <w:r>
        <w:tab/>
      </w:r>
      <w:hyperlink r:id="rId7" w:history="1">
        <w:r w:rsidRPr="00DF57F2">
          <w:rPr>
            <w:rStyle w:val="Hyperlink"/>
          </w:rPr>
          <w:t>gary@mechanicsofbusiness.org</w:t>
        </w:r>
      </w:hyperlink>
    </w:p>
    <w:p w14:paraId="1FD7E8C7" w14:textId="0EB6AACD" w:rsidR="00D13E86" w:rsidRPr="00CC7CDE" w:rsidRDefault="00D13E86" w:rsidP="00CF72CC">
      <w:pPr>
        <w:spacing w:after="0" w:line="240" w:lineRule="auto"/>
      </w:pPr>
      <w:r>
        <w:t>Mobile</w:t>
      </w:r>
      <w:r w:rsidR="00397384">
        <w:t>: +27 82 504 0559</w:t>
      </w:r>
    </w:p>
    <w:sectPr w:rsidR="00D13E86" w:rsidRPr="00CC7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8B"/>
    <w:rsid w:val="000067EC"/>
    <w:rsid w:val="000438FC"/>
    <w:rsid w:val="000C7D3D"/>
    <w:rsid w:val="001222FF"/>
    <w:rsid w:val="00196B64"/>
    <w:rsid w:val="001A245A"/>
    <w:rsid w:val="001B6B6F"/>
    <w:rsid w:val="001D279E"/>
    <w:rsid w:val="001E3A7E"/>
    <w:rsid w:val="001F0BD7"/>
    <w:rsid w:val="00216142"/>
    <w:rsid w:val="002209EC"/>
    <w:rsid w:val="00226DA6"/>
    <w:rsid w:val="00256250"/>
    <w:rsid w:val="002A3243"/>
    <w:rsid w:val="002A67F0"/>
    <w:rsid w:val="002F1091"/>
    <w:rsid w:val="002F6F3A"/>
    <w:rsid w:val="0031647C"/>
    <w:rsid w:val="00397384"/>
    <w:rsid w:val="003D1963"/>
    <w:rsid w:val="004466EF"/>
    <w:rsid w:val="00540602"/>
    <w:rsid w:val="005A3E47"/>
    <w:rsid w:val="005A533F"/>
    <w:rsid w:val="0062650E"/>
    <w:rsid w:val="0063393D"/>
    <w:rsid w:val="006738EA"/>
    <w:rsid w:val="006858A4"/>
    <w:rsid w:val="006A3331"/>
    <w:rsid w:val="006F2FDA"/>
    <w:rsid w:val="00702655"/>
    <w:rsid w:val="00754D65"/>
    <w:rsid w:val="0079328B"/>
    <w:rsid w:val="007A4DE0"/>
    <w:rsid w:val="007C188A"/>
    <w:rsid w:val="008D59E7"/>
    <w:rsid w:val="00904DD6"/>
    <w:rsid w:val="00917B5C"/>
    <w:rsid w:val="009308DD"/>
    <w:rsid w:val="00943394"/>
    <w:rsid w:val="00951076"/>
    <w:rsid w:val="00964F85"/>
    <w:rsid w:val="00970112"/>
    <w:rsid w:val="00976557"/>
    <w:rsid w:val="009B0F3D"/>
    <w:rsid w:val="009C352D"/>
    <w:rsid w:val="009D7AF7"/>
    <w:rsid w:val="00A67D87"/>
    <w:rsid w:val="00A979B5"/>
    <w:rsid w:val="00AC582A"/>
    <w:rsid w:val="00B113D0"/>
    <w:rsid w:val="00B57BAA"/>
    <w:rsid w:val="00BE5143"/>
    <w:rsid w:val="00BF34E9"/>
    <w:rsid w:val="00C07D93"/>
    <w:rsid w:val="00CC2BE8"/>
    <w:rsid w:val="00CC7CDE"/>
    <w:rsid w:val="00CF09BE"/>
    <w:rsid w:val="00CF72CC"/>
    <w:rsid w:val="00CF7905"/>
    <w:rsid w:val="00D13E86"/>
    <w:rsid w:val="00D6427A"/>
    <w:rsid w:val="00DD44E1"/>
    <w:rsid w:val="00E455E7"/>
    <w:rsid w:val="00EA02C1"/>
    <w:rsid w:val="00ED7A8D"/>
    <w:rsid w:val="00F55EED"/>
    <w:rsid w:val="00FA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E4813EB"/>
  <w15:chartTrackingRefBased/>
  <w15:docId w15:val="{45DFD60B-0525-4796-A32F-E92B906A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E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y@mechanicsofbusines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39DE-6828-4FC1-9725-5162A64B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Bateman</dc:creator>
  <cp:keywords/>
  <dc:description/>
  <cp:lastModifiedBy>Gary Bateman</cp:lastModifiedBy>
  <cp:revision>76</cp:revision>
  <cp:lastPrinted>2025-08-27T13:01:00Z</cp:lastPrinted>
  <dcterms:created xsi:type="dcterms:W3CDTF">2025-08-27T11:54:00Z</dcterms:created>
  <dcterms:modified xsi:type="dcterms:W3CDTF">2025-08-27T14:50:00Z</dcterms:modified>
</cp:coreProperties>
</file>